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9C0CD">
      <w:pPr>
        <w:widowControl/>
        <w:jc w:val="left"/>
        <w:rPr>
          <w:rFonts w:ascii="仿宋" w:hAnsi="仿宋" w:eastAsia="仿宋" w:cs="仿宋"/>
          <w:b/>
          <w:bCs/>
          <w:color w:val="000000"/>
          <w:kern w:val="0"/>
          <w:sz w:val="24"/>
          <w:lang w:bidi="ar"/>
        </w:rPr>
      </w:pPr>
      <w:r>
        <w:rPr>
          <w:rFonts w:ascii="仿宋" w:hAnsi="仿宋" w:eastAsia="仿宋" w:cs="仿宋"/>
          <w:b/>
          <w:bCs/>
          <w:color w:val="000000"/>
          <w:kern w:val="0"/>
          <w:sz w:val="24"/>
          <w:lang w:bidi="ar"/>
        </w:rPr>
        <w:t>收费站防火墙</w:t>
      </w:r>
    </w:p>
    <w:p w14:paraId="7582B5C2">
      <w:pPr>
        <w:widowControl/>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策略：如果访问源存在经过 CDN 代理的环境， 在 “策略优化项” 需要选择访问源经过源地址转换或CDN, 如不存在该环境则选择访问源未经过源地址转换或CDN; 针对服务器网段业务系统漏洞和弱口令等，开启实时漏洞分析， 对内网服务器的涌洞、 弱密码、 黑链、 webshell等风险进行实时监控；针对服务器网段漏洞利用攻击和口令暴力破解攻击，关联漏洞攻击防护模板，开启 “保护服务器” 和 “暴力破解”，有效防止对外发布的服务如 RDP 、 SSH、 SMB 等涓洞被外网利用， 对外开放业务被暴力玻解。</w:t>
      </w:r>
    </w:p>
    <w:p w14:paraId="4355EB44">
      <w:pPr>
        <w:widowControl/>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收费站流量探针</w:t>
      </w:r>
    </w:p>
    <w:p w14:paraId="522F783A">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配置策略：</w:t>
      </w:r>
      <w:r>
        <w:rPr>
          <w:rFonts w:ascii="仿宋" w:hAnsi="仿宋" w:eastAsia="仿宋" w:cs="仿宋"/>
          <w:color w:val="000000"/>
          <w:kern w:val="0"/>
          <w:sz w:val="24"/>
          <w:lang w:bidi="ar"/>
        </w:rPr>
        <w:t>通过配置黑白名单，检测内网主机的访问情况是否符合规定，需要人工事先进行梳理好访</w:t>
      </w:r>
      <w:r>
        <w:rPr>
          <w:rFonts w:hint="eastAsia" w:ascii="仿宋" w:hAnsi="仿宋" w:eastAsia="仿宋" w:cs="仿宋"/>
          <w:color w:val="000000"/>
          <w:kern w:val="0"/>
          <w:sz w:val="24"/>
          <w:lang w:bidi="ar"/>
        </w:rPr>
        <w:t>问关系再进行配置。默认策略为白名单，记录所有的访问记录。策略从上到下进行匹配，可以通过右侧置顶功能对策略优先级进行调节。配置探针的检测策略，发现内网主机的风险或异常等情况。</w:t>
      </w:r>
    </w:p>
    <w:p w14:paraId="022431D3">
      <w:pPr>
        <w:widowControl/>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技术要求：</w:t>
      </w:r>
    </w:p>
    <w:p w14:paraId="41981C95">
      <w:pPr>
        <w:widowControl/>
        <w:numPr>
          <w:ilvl w:val="0"/>
          <w:numId w:val="1"/>
        </w:numPr>
        <w:jc w:val="left"/>
        <w:rPr>
          <w:rFonts w:ascii="仿宋" w:hAnsi="仿宋" w:eastAsia="仿宋" w:cs="仿宋"/>
          <w:color w:val="000000"/>
          <w:kern w:val="0"/>
          <w:sz w:val="24"/>
          <w:lang w:bidi="ar"/>
        </w:rPr>
      </w:pPr>
      <w:r>
        <w:rPr>
          <w:rFonts w:ascii="仿宋" w:hAnsi="仿宋" w:eastAsia="仿宋" w:cs="仿宋"/>
          <w:color w:val="000000"/>
          <w:kern w:val="0"/>
          <w:sz w:val="24"/>
          <w:lang w:bidi="ar"/>
        </w:rPr>
        <w:t>为标准机架式设备，设备满足国产化相关要求，≥6个千兆电口，≥4个千兆光口，配置4个光模块。综合检测吞吐量≥1G。</w:t>
      </w:r>
    </w:p>
    <w:p w14:paraId="038D4B10">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2、探针支持旁路部署，具备探针同时接入多个镜像口，每个口相互独立不影响。</w:t>
      </w:r>
    </w:p>
    <w:p w14:paraId="5E856181">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3、流量探针负责采集收费站网络流量日志，上传至省中心管理平台进行统一分析，形成整体安全态势。</w:t>
      </w:r>
    </w:p>
    <w:p w14:paraId="3DFA70A6">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4、具备主动发送少量探测报文，发现潜在的服务器资产，以及学习服务器的基础信息，如：操作系统、开放的端口号等。</w:t>
      </w:r>
    </w:p>
    <w:p w14:paraId="4BC06187">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5、支持采集网络流量的五元组信息（源IP、目的IP、源端口、目的端口、协议类型）以及应用层协议信息，对采集到的流量数据进行预处理，去除噪声和冗余信息，提高数据质量。</w:t>
      </w:r>
    </w:p>
    <w:p w14:paraId="2E6A4DFD">
      <w:pPr>
        <w:widowControl/>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收费站边界准入控制</w:t>
      </w:r>
    </w:p>
    <w:p w14:paraId="3F3EA380">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配置策略：</w:t>
      </w:r>
      <w:r>
        <w:rPr>
          <w:rFonts w:ascii="仿宋" w:hAnsi="仿宋" w:eastAsia="仿宋" w:cs="仿宋"/>
          <w:color w:val="000000"/>
          <w:kern w:val="0"/>
          <w:sz w:val="24"/>
          <w:lang w:bidi="ar"/>
        </w:rPr>
        <w:t>通过流量被动识别为主，主动扫描为辅，识别企业资产信息。联动交换机配置 802.1x+MAB</w:t>
      </w:r>
      <w:r>
        <w:rPr>
          <w:rFonts w:hint="eastAsia" w:ascii="仿宋" w:hAnsi="仿宋" w:eastAsia="仿宋" w:cs="仿宋"/>
          <w:color w:val="000000"/>
          <w:kern w:val="0"/>
          <w:sz w:val="24"/>
          <w:lang w:bidi="ar"/>
        </w:rPr>
        <w:t>认证，接入层交换机启用 802.1x 认证，MAB 认证优先，全网 AC 启用 80.2.1x 认证，并对哑终端或不安装准入客户端 PC 进行 mac 地址绑定。</w:t>
      </w:r>
    </w:p>
    <w:p w14:paraId="61132F01">
      <w:pPr>
        <w:widowControl/>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技术要求</w:t>
      </w:r>
    </w:p>
    <w:p w14:paraId="37FF1A79">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1、标准机架式设备，设备满足国产化相关要求，配置≥6个千兆电口，≥2个千兆光口，配置2个光模块，≥128GB存储空间，冗余电源。物联网安全防护吞吐量≥20G，物联网安全防护IPS吞吐≥4G；</w:t>
      </w:r>
    </w:p>
    <w:p w14:paraId="50A75704">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2、支持快速发现和识别网络设备，识别判断设备接入合法性，快速发现设备私接仿冒、设备安全隐患等。</w:t>
      </w:r>
    </w:p>
    <w:p w14:paraId="3EC22419">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3、针对终端设备深度识别、设备在线检测、弱口令检测等功能。支持网络流量方式资产快速发现；支持端口扫描、IP/MAC扫描、通用网络协议扫描；</w:t>
      </w:r>
    </w:p>
    <w:p w14:paraId="38EF9F49">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4、对接入终端和物联网资产进行有效的黑白名单准入控制，并防御来自外部的威胁，阻止黑客利用私接、仿冒等手段入侵；</w:t>
      </w:r>
    </w:p>
    <w:p w14:paraId="5BBE82F1">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5.可识别IT、OT、IoT混合资产，获取IP、MAC、操作系统、类型、厂商等信息。6.支持对IT和IoT混合终端进行主动网络探测，通过终端的响应数据包判断其是否存在违规外联行为，可检测双网卡、4G网卡、私接wifi等外联方式。</w:t>
      </w:r>
    </w:p>
    <w:p w14:paraId="36B24612">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7.支持网络层准入，支持对资产进行入网管控，未审核的资产禁止入网；支持旁路部署进行准入，仅允许通过审批的终端入网；</w:t>
      </w:r>
    </w:p>
    <w:p w14:paraId="7036F74E">
      <w:pPr>
        <w:widowControl/>
        <w:jc w:val="left"/>
        <w:rPr>
          <w:rFonts w:hint="eastAsia" w:ascii="仿宋" w:hAnsi="仿宋" w:eastAsia="仿宋" w:cs="仿宋"/>
          <w:b/>
          <w:bCs/>
          <w:color w:val="000000"/>
          <w:kern w:val="0"/>
          <w:sz w:val="24"/>
          <w:lang w:bidi="ar"/>
        </w:rPr>
      </w:pPr>
      <w:r>
        <w:rPr>
          <w:rFonts w:hint="eastAsia" w:ascii="仿宋" w:hAnsi="仿宋" w:eastAsia="仿宋" w:cs="仿宋"/>
          <w:b/>
          <w:bCs/>
          <w:color w:val="000000"/>
          <w:kern w:val="0"/>
          <w:sz w:val="24"/>
          <w:lang w:bidi="ar"/>
        </w:rPr>
        <w:t>国密网关</w:t>
      </w:r>
    </w:p>
    <w:p w14:paraId="07BA5237">
      <w:pPr>
        <w:widowControl/>
        <w:jc w:val="left"/>
      </w:pPr>
      <w:r>
        <w:rPr>
          <w:rFonts w:hint="eastAsia" w:ascii="仿宋" w:hAnsi="仿宋" w:eastAsia="仿宋" w:cs="仿宋"/>
          <w:color w:val="000000"/>
          <w:kern w:val="0"/>
          <w:sz w:val="24"/>
          <w:lang w:bidi="ar"/>
        </w:rPr>
        <w:t>配置策略：</w:t>
      </w:r>
      <w:r>
        <w:rPr>
          <w:rFonts w:ascii="仿宋" w:hAnsi="仿宋" w:eastAsia="仿宋" w:cs="仿宋"/>
          <w:color w:val="000000"/>
          <w:kern w:val="0"/>
          <w:sz w:val="24"/>
          <w:lang w:bidi="ar"/>
        </w:rPr>
        <w:t>为各场站端配发专属国密 SM2 数字证书，通过国密证书保证在网络连接传输过程中身份可</w:t>
      </w:r>
      <w:r>
        <w:rPr>
          <w:rFonts w:hint="eastAsia" w:ascii="仿宋" w:hAnsi="仿宋" w:eastAsia="仿宋" w:cs="仿宋"/>
          <w:color w:val="000000"/>
          <w:kern w:val="0"/>
          <w:sz w:val="24"/>
          <w:lang w:bidi="ar"/>
        </w:rPr>
        <w:t xml:space="preserve">靠性，并通过 SM2 证书建立国密 SSL 传输通道，遵循《SSL VPN 技术规范》（GM/T 0024）规范。 </w:t>
      </w:r>
    </w:p>
    <w:p w14:paraId="11F0CA98">
      <w:pPr>
        <w:widowControl/>
        <w:jc w:val="left"/>
      </w:pPr>
      <w:r>
        <w:rPr>
          <w:rFonts w:hint="eastAsia" w:ascii="仿宋" w:hAnsi="仿宋" w:eastAsia="仿宋" w:cs="仿宋"/>
          <w:color w:val="000000"/>
          <w:kern w:val="0"/>
          <w:sz w:val="24"/>
          <w:lang w:bidi="ar"/>
        </w:rPr>
        <w:t>端侧业务系统借助国密网关，运用国密 SSL 算法构建安全的通信通道，以此保障从网络传输至后端业务系统的全量数据流量的安全性与可靠性。当中心端发送经数字信封加密且附带数字签名的关键业务及指令数据时，端侧系统在接收这些数据且需触发执行时，会对拟执行的重要指令实施数字信封解密操作，以获取指令及数据的原始内容，进而有效防范指令及原始数据在未获授权的情况下被查看或操作。同时，端侧业务系统利用国密网关所具备的数字签名验证功能，对指令及重要数据的来源真实性进行核验，确保指令和数据从中心端生成直至传输过程中的完整性与可靠性，即原发真实性，进一步提升了整个系统的安全防护效能。</w:t>
      </w:r>
    </w:p>
    <w:p w14:paraId="5D98EF0D">
      <w:pPr>
        <w:widowControl/>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技术要求</w:t>
      </w:r>
    </w:p>
    <w:p w14:paraId="4F17AAA7">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 xml:space="preserve">1.设备满足国产化相关要求。网口配置≥4个千兆电口、4个千兆光口；配置2个光模块 </w:t>
      </w:r>
    </w:p>
    <w:p w14:paraId="59FA95D8">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 xml:space="preserve">2、内置密码卡，密码卡及安全互联网关均具有国家密码管理局颁发的有效期内的《商用密码产品认证证书》； </w:t>
      </w:r>
    </w:p>
    <w:p w14:paraId="7D535CC0">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 xml:space="preserve">3.同时支持IPv4及IPv6协议，同时支持TLS1.3、TLCP协议，支持使用交通行业证书建立加密传输通道； </w:t>
      </w:r>
    </w:p>
    <w:p w14:paraId="021A376D">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 xml:space="preserve">4.支持TCP、HTTP、WebSocket、FTP协议数据安全传输； </w:t>
      </w:r>
    </w:p>
    <w:p w14:paraId="42CD05DF">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 xml:space="preserve">5、提供远程证书服务管理，实现对交通行业证书配置及管理，支持远程P10申请、证书上传、证书同步以及服务证书更新； </w:t>
      </w:r>
    </w:p>
    <w:p w14:paraId="4E671B79">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 xml:space="preserve">7、支持基于行业证书实现SM2算法的签名、验签功能； </w:t>
      </w:r>
    </w:p>
    <w:p w14:paraId="6495CB2B">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 xml:space="preserve">8.SM2双向新建(HTTPS)≥200次每秒: </w:t>
      </w:r>
    </w:p>
    <w:p w14:paraId="61A02522">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 xml:space="preserve">9.双向SSL最大并发连接数≥100K； </w:t>
      </w:r>
    </w:p>
    <w:p w14:paraId="57BD747F">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 xml:space="preserve">10.SM2双向SSL最大吞吐≥600Mbps； </w:t>
      </w:r>
    </w:p>
    <w:p w14:paraId="1A2B229A">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 xml:space="preserve">11.SM2数字签名性能≥1100次每秒； </w:t>
      </w:r>
    </w:p>
    <w:p w14:paraId="03DB2818">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 xml:space="preserve">12.SM2数字签名验签性能≥600次每秒； </w:t>
      </w:r>
    </w:p>
    <w:p w14:paraId="099DD266">
      <w:pPr>
        <w:widowControl/>
        <w:jc w:val="left"/>
        <w:rPr>
          <w:rFonts w:ascii="仿宋" w:hAnsi="仿宋" w:eastAsia="仿宋" w:cs="仿宋"/>
          <w:color w:val="000000"/>
          <w:kern w:val="0"/>
          <w:sz w:val="24"/>
          <w:lang w:bidi="ar"/>
        </w:rPr>
      </w:pPr>
      <w:r>
        <w:rPr>
          <w:rFonts w:ascii="仿宋" w:hAnsi="仿宋" w:eastAsia="仿宋" w:cs="仿宋"/>
          <w:color w:val="000000"/>
          <w:kern w:val="0"/>
          <w:sz w:val="24"/>
          <w:lang w:bidi="ar"/>
        </w:rPr>
        <w:t>13.须具备数字签名验签，数字信封加解密功能，(网关具备此功能或通过扩展设备提升实现均可，需包含扩展设备)，满足《GB/T39786-2021信息安全技术信息系统密码应用基本要求》对应用数据层的基本要求。</w:t>
      </w:r>
    </w:p>
    <w:p w14:paraId="069D56F2">
      <w:pPr>
        <w:widowControl/>
        <w:jc w:val="left"/>
        <w:rPr>
          <w:rFonts w:hint="eastAsia" w:ascii="仿宋" w:hAnsi="仿宋" w:eastAsia="仿宋" w:cs="仿宋"/>
          <w:color w:val="000000"/>
          <w:kern w:val="0"/>
          <w:sz w:val="24"/>
          <w:lang w:bidi="ar"/>
        </w:rPr>
      </w:pPr>
    </w:p>
    <w:p w14:paraId="457584D8">
      <w:pPr>
        <w:rPr>
          <w:rFonts w:asciiTheme="minorHAnsi" w:hAnsiTheme="minorHAnsi" w:eastAsiaTheme="minorEastAsia" w:cstheme="minorBidi"/>
          <w:b/>
          <w:bCs/>
          <w:szCs w:val="22"/>
        </w:rPr>
      </w:pPr>
      <w:r>
        <w:rPr>
          <w:rFonts w:hint="eastAsia" w:asciiTheme="minorHAnsi" w:hAnsiTheme="minorHAnsi" w:eastAsiaTheme="minorEastAsia" w:cstheme="minorBidi"/>
          <w:b/>
          <w:bCs/>
          <w:szCs w:val="22"/>
        </w:rPr>
        <w:t>防火墙</w:t>
      </w:r>
    </w:p>
    <w:p w14:paraId="1D96ADA7">
      <w:pPr>
        <w:rPr>
          <w:rFonts w:hint="eastAsia" w:asciiTheme="minorHAnsi" w:hAnsiTheme="minorHAnsi" w:eastAsiaTheme="minorEastAsia" w:cstheme="minorBidi"/>
          <w:szCs w:val="22"/>
        </w:rPr>
      </w:pPr>
      <w:r>
        <w:rPr>
          <w:rFonts w:hint="eastAsia" w:asciiTheme="minorHAnsi" w:hAnsiTheme="minorHAnsi" w:eastAsiaTheme="minorEastAsia" w:cstheme="minorBidi"/>
          <w:szCs w:val="22"/>
        </w:rPr>
        <w:t>整机吞吐量:≥12Gbps,并发连接数:≥200 万,每秒新建连接数:≥8 万,设备接口:具备6 个千兆电口，4 个千兆光口，2 个万兆光口（配置2 个万兆光模块），配置:病毒库升级-3 年；IPS 库升级-3 年,标准1U 架构，入侵防护漏洞规则特征库数量在4000 条以上，支持对HTTP，FTP，SMTP，POP3 协议进行病毒文件检测；支持杀毒白名单功能，可以根据URL 或者IP 进行排除不检测病毒；检测到病毒后的操作支持阻断，记录杀毒日志；支持接入统一的安全监测平台，通过安全监测平台可以实时看到每台安全设备的详细安全状态信息，包括安全评分级别、最近有效事件、有效事件趋势、用户安全统计、服务器安全统计和攻击来源统计。支持对被保护对象的流量进行分析，发现被保护对象的不同业务流量情况，支持生成和导出相关报告。配置3 年IPS 及防病毒模块。支持主流的商业加密算法，包括：AES、DES、3DES 等，配置国密算法SM1、SM2、SM3、SM4，可提供国家密码管理局颁发的证书。配置IPSec VPN 隧道数，加密性能需满足视频传输使用要求。</w:t>
      </w:r>
    </w:p>
    <w:p w14:paraId="6A88CFBE">
      <w:pPr>
        <w:rPr>
          <w:rFonts w:asciiTheme="minorHAnsi" w:hAnsiTheme="minorHAnsi" w:eastAsiaTheme="minorEastAsia" w:cstheme="minorBidi"/>
          <w:b/>
          <w:bCs/>
          <w:szCs w:val="22"/>
        </w:rPr>
      </w:pPr>
      <w:r>
        <w:rPr>
          <w:rFonts w:hint="eastAsia" w:asciiTheme="minorHAnsi" w:hAnsiTheme="minorHAnsi" w:eastAsiaTheme="minorEastAsia" w:cstheme="minorBidi"/>
          <w:b/>
          <w:bCs/>
          <w:szCs w:val="22"/>
        </w:rPr>
        <w:t>网闸</w:t>
      </w:r>
    </w:p>
    <w:p w14:paraId="31A05E25">
      <w:pPr>
        <w:rPr>
          <w:rFonts w:hint="eastAsia" w:asciiTheme="minorHAnsi" w:hAnsiTheme="minorHAnsi" w:eastAsiaTheme="minorEastAsia" w:cstheme="minorBidi"/>
          <w:szCs w:val="22"/>
        </w:rPr>
      </w:pPr>
      <w:r>
        <w:rPr>
          <w:rFonts w:hint="eastAsia" w:asciiTheme="minorHAnsi" w:hAnsiTheme="minorHAnsi" w:eastAsiaTheme="minorEastAsia" w:cstheme="minorBidi"/>
          <w:szCs w:val="22"/>
        </w:rPr>
        <w:t>并发数：10 万，整机吞吐量：950Mbps，延时：小于1ms，物理架构：2+1 隔离架构，断开TCP/IP，内网三个接口，外网三个接口。</w:t>
      </w:r>
    </w:p>
    <w:p w14:paraId="1B32BF70">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4D4CA5"/>
    <w:multiLevelType w:val="singleLevel"/>
    <w:tmpl w:val="664D4CA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0B"/>
    <w:rsid w:val="00087160"/>
    <w:rsid w:val="000C0C50"/>
    <w:rsid w:val="00AC4A0B"/>
    <w:rsid w:val="00B22CBA"/>
    <w:rsid w:val="00E46F72"/>
    <w:rsid w:val="00EA044B"/>
    <w:rsid w:val="0D2B2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1884</Words>
  <Characters>2080</Characters>
  <Lines>15</Lines>
  <Paragraphs>4</Paragraphs>
  <TotalTime>0</TotalTime>
  <ScaleCrop>false</ScaleCrop>
  <LinksUpToDate>false</LinksUpToDate>
  <CharactersWithSpaces>2135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2026-04-11T02:15:00Z</dcterms:created>
  <dc:creator>Administrator</dc:creator>
  <cp:lastModifiedBy>张黎海</cp:lastModifiedBy>
  <dcterms:modified xsi:type="dcterms:W3CDTF">2026-04-13T05:40:39Z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eyJoZGlkIjoiMDhkNTI0ODQ5YjM1NDMwNDhmZDU5MDk2NTAxNDE0NmQiLCJ1c2VySWQiOiIzMDQwOTM5NTUifQ==</vt:lpwstr>
  </property>
  <property fmtid="{D5CDD505-2E9C-101B-9397-08002B2CF9AE}" pid="3" name="KSOProductBuildVer">
    <vt:lpwstr>2052-12.1.0.25225</vt:lpwstr>
  </property>
  <property fmtid="{D5CDD505-2E9C-101B-9397-08002B2CF9AE}" pid="4" name="ICV">
    <vt:lpwstr>3F91B51E9250479BB628AF471724C407_12</vt:lpwstr>
  </property>
</Properties>
</file>