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FCE22"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专用空调 </w:t>
      </w:r>
    </w:p>
    <w:p w14:paraId="36795BF4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机组核心动力采用全封闭涡旋式压缩机；蒸发器应具有较大换热面积，并且空气没有任何扰动流过机组；风机采用可调速后弯叶片离心风机，静压可在0-400Pa范围调节；膨胀阀采用电子式膨胀阀，可精确控制蒸发器中的制冷剂的供应量；过滤器采用金属柜架G4标准的可以反复冲洗的空气过滤器；采用电极式加湿系统，加湿量及进排水量均由电脑控制，加湿罐自动清洗程序确保加湿罐维持正常的加湿效率；电加热器具有完善过热保护功能和防电离作用；冷凝器外壳由抗腐蚀合金制成，采用外转子式轴流风机，噪音满足环保要求，风机调速器控制不同环境温度的风速，保证良好运行效果和节能；机组控制系统采用先进的微处理器来实现，提供方便准确的系统监控及参数设定功能，在正常使用的温度及湿度范围内，温度控制精度达±0.2℃,湿度控制精度达±2%；通过联网监控网络可以实现对空调实时远程监控。制冷量不小于13.8KW，风量不小于3470m3/h，效能比不小于3.93，显热比不小于0.96；压缩机采用涡旋式压缩机；翅片蒸发盘管迎风面积不小于0.47m2；空气过滤器等级为EU4-5，耐火级别为1级；加湿器加湿量不小于3kg/h；整机噪音级别不大于51db。空调设计寿命在7×24小时连续运行平均无故障工作时间必须达到10年以上。</w:t>
      </w:r>
      <w:bookmarkStart w:id="0" w:name="_GoBack"/>
      <w:bookmarkEnd w:id="0"/>
    </w:p>
    <w:p w14:paraId="524594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F58AD"/>
    <w:rsid w:val="3BBF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2026-03-22T12:27:00Z</dcterms:created>
  <dc:creator>烟雨微尘</dc:creator>
  <cp:lastModifiedBy>烟雨微尘</cp:lastModifiedBy>
  <dcterms:modified xsi:type="dcterms:W3CDTF">2026-03-22T12:28:22Z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F19EB6CC5F48404999700FA5380A2B65_11</vt:lpwstr>
  </property>
  <property fmtid="{D5CDD505-2E9C-101B-9397-08002B2CF9AE}" pid="4" name="KSOTemplateDocerSaveRecord">
    <vt:lpwstr>eyJoZGlkIjoiYTRjN2I3OWMxZTBhMWRkOThhMGJjOWExYzhlMGVlNGUiLCJ1c2VySWQiOiIzNjM1MjQ1NzIifQ==</vt:lpwstr>
  </property>
</Properties>
</file>