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6F51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VPN专线设备</w:t>
      </w:r>
    </w:p>
    <w:p w14:paraId="10396E95">
      <w:pPr>
        <w:rPr>
          <w:rFonts w:hint="eastAsia"/>
        </w:rPr>
      </w:pPr>
      <w:r>
        <w:rPr>
          <w:rFonts w:hint="eastAsia"/>
        </w:rPr>
        <w:t>1U机架式设备，5个千兆电口，2个千兆光口，1个console口，单电源，IPSEC最大加密吞吐率：600Mbps IPSEC VPN最大隧道数：1000 SSL最大加密吞吐率：100Mbps SSL最大并发用户数：500 最大管理用户数：2000</w:t>
      </w:r>
    </w:p>
    <w:p w14:paraId="20115115">
      <w:r>
        <w:rPr>
          <w:rFonts w:hint="eastAsia"/>
        </w:rPr>
        <w:t>含100个SSL VPN的客户端并发许可；支持PC端、移动端客户端登录界面样式自定义设置，可设置客户端登录页背景、Logo、页脚、标题等；支持设备的运行状态、设备资源状态、并发用户数、客户端类型分布、IPSEC隧道状态、用户流量、安全事件、中国任意省市区县的接入用户数监控，并通过图表展示；支持流量控制，可对通道的速率、最大速率、优先级等进行设定；支持系统诊断管理；符合国密局制定的《IPsec技术规范》和《SSL VPN技术规范》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55002"/>
    <w:rsid w:val="29E55002"/>
    <w:rsid w:val="7EA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340</Characters>
  <Lines>0</Lines>
  <Paragraphs>0</Paragraphs>
  <TotalTime>1</TotalTime>
  <ScaleCrop>false</ScaleCrop>
  <LinksUpToDate>false</LinksUpToDate>
  <CharactersWithSpaces>347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2025-10-13T11:17:00Z</dcterms:created>
  <dc:creator>枫江</dc:creator>
  <cp:lastModifiedBy>张黎海</cp:lastModifiedBy>
  <dcterms:modified xsi:type="dcterms:W3CDTF">2025-10-15T03:40:38Z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50FF0253EF334DC6A196E63120B45CB1_13</vt:lpwstr>
  </property>
  <property fmtid="{D5CDD505-2E9C-101B-9397-08002B2CF9AE}" pid="4" name="KSOTemplateDocerSaveRecord">
    <vt:lpwstr>eyJoZGlkIjoiNGIxZTVkM2YwZTAwOWRjODEzYTNjZTA1ZDAxNDIyNDgiLCJ1c2VySWQiOiIzNDYwMDc1NzMifQ==</vt:lpwstr>
  </property>
</Properties>
</file>