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" w:firstLineChars="41"/>
        <w:rPr>
          <w:rFonts w:hint="eastAsia" w:ascii="华文细黑" w:hAnsi="华文细黑"/>
          <w:sz w:val="48"/>
          <w:szCs w:val="48"/>
          <w:lang w:val="zh-CN"/>
        </w:rPr>
      </w:pPr>
    </w:p>
    <w:p>
      <w:pPr>
        <w:ind w:firstLine="196" w:firstLineChars="41"/>
        <w:rPr>
          <w:rFonts w:hint="eastAsia" w:ascii="华文细黑" w:hAnsi="华文细黑"/>
          <w:sz w:val="48"/>
          <w:szCs w:val="48"/>
          <w:lang w:val="zh-CN"/>
        </w:rPr>
      </w:pPr>
    </w:p>
    <w:p>
      <w:pPr>
        <w:ind w:firstLine="196" w:firstLineChars="41"/>
        <w:rPr>
          <w:rFonts w:hint="eastAsia" w:ascii="华文细黑" w:hAnsi="华文细黑"/>
          <w:sz w:val="48"/>
          <w:szCs w:val="48"/>
          <w:lang w:val="zh-CN"/>
        </w:rPr>
      </w:pPr>
    </w:p>
    <w:p>
      <w:pPr>
        <w:pStyle w:val="3"/>
        <w:numPr>
          <w:ilvl w:val="0"/>
          <w:numId w:val="0"/>
        </w:numPr>
        <w:ind w:left="20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称重精度</w:t>
      </w:r>
    </w:p>
    <w:p>
      <w:pPr>
        <w:ind w:firstLine="48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称重准确度：国标5级（检定</w:t>
      </w:r>
      <w:r>
        <w:rPr>
          <w:rFonts w:ascii="华文细黑" w:hAnsi="华文细黑"/>
          <w:lang w:val="zh-CN"/>
        </w:rPr>
        <w:t>误差±2.5%</w:t>
      </w:r>
      <w:r>
        <w:rPr>
          <w:rFonts w:hint="eastAsia" w:ascii="华文细黑" w:hAnsi="华文细黑"/>
          <w:lang w:val="zh-CN"/>
        </w:rPr>
        <w:t>，</w:t>
      </w:r>
      <w:r>
        <w:rPr>
          <w:rFonts w:ascii="华文细黑" w:hAnsi="华文细黑"/>
          <w:lang w:val="zh-CN"/>
        </w:rPr>
        <w:t>使用中±5%</w:t>
      </w:r>
      <w:r>
        <w:rPr>
          <w:rFonts w:hint="eastAsia" w:ascii="华文细黑" w:hAnsi="华文细黑"/>
          <w:lang w:val="zh-CN"/>
        </w:rPr>
        <w:t>）</w:t>
      </w:r>
    </w:p>
    <w:p>
      <w:pPr>
        <w:ind w:firstLine="48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称重</w:t>
      </w:r>
      <w:r>
        <w:rPr>
          <w:rFonts w:ascii="华文细黑" w:hAnsi="华文细黑"/>
          <w:lang w:val="zh-CN"/>
        </w:rPr>
        <w:t>系统可输出给收费系统：</w:t>
      </w:r>
      <w:r>
        <w:rPr>
          <w:rFonts w:hint="eastAsia" w:ascii="华文细黑" w:hAnsi="华文细黑"/>
          <w:lang w:val="zh-CN"/>
        </w:rPr>
        <w:t>时间、速度、车轴数量、车轴间距、车型、车轴重量、轴重、轴组重、车辆总重、车道号、车辆加速度等。</w:t>
      </w:r>
    </w:p>
    <w:p>
      <w:pPr>
        <w:pStyle w:val="17"/>
        <w:spacing w:line="240" w:lineRule="auto"/>
        <w:ind w:left="900" w:firstLine="0" w:firstLineChars="0"/>
      </w:pPr>
    </w:p>
    <w:p>
      <w:pPr>
        <w:pStyle w:val="3"/>
        <w:numPr>
          <w:ilvl w:val="0"/>
          <w:numId w:val="0"/>
        </w:numPr>
        <w:ind w:left="20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系统功能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系统能实现自动检测功能。包括自动检测称重数据、车牌识别数据、车辆自动分离、轴型及轴数的识别等；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系统具有开机自检、零点校正和温度自动补偿功能；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系统通过对显示屏</w:t>
      </w:r>
      <w:r>
        <w:rPr>
          <w:rFonts w:ascii="华文细黑" w:hAnsi="华文细黑"/>
          <w:lang w:val="zh-CN"/>
        </w:rPr>
        <w:t>，</w:t>
      </w:r>
      <w:r>
        <w:rPr>
          <w:rFonts w:hint="eastAsia" w:ascii="华文细黑" w:hAnsi="华文细黑"/>
          <w:lang w:val="zh-CN"/>
        </w:rPr>
        <w:t>能够</w:t>
      </w:r>
      <w:r>
        <w:rPr>
          <w:rFonts w:ascii="华文细黑" w:hAnsi="华文细黑"/>
          <w:lang w:val="zh-CN"/>
        </w:rPr>
        <w:t>自动引导车辆</w:t>
      </w:r>
      <w:r>
        <w:rPr>
          <w:rFonts w:hint="eastAsia" w:ascii="华文细黑" w:hAnsi="华文细黑"/>
          <w:lang w:val="zh-CN"/>
        </w:rPr>
        <w:t>进行</w:t>
      </w:r>
      <w:r>
        <w:rPr>
          <w:rFonts w:ascii="华文细黑" w:hAnsi="华文细黑"/>
          <w:lang w:val="zh-CN"/>
        </w:rPr>
        <w:t>检测</w:t>
      </w:r>
      <w:r>
        <w:rPr>
          <w:rFonts w:hint="eastAsia" w:ascii="华文细黑" w:hAnsi="华文细黑"/>
          <w:lang w:val="zh-CN"/>
        </w:rPr>
        <w:t>及</w:t>
      </w:r>
      <w:r>
        <w:rPr>
          <w:rFonts w:ascii="华文细黑" w:hAnsi="华文细黑"/>
          <w:lang w:val="zh-CN"/>
        </w:rPr>
        <w:t>劝返</w:t>
      </w:r>
      <w:r>
        <w:rPr>
          <w:rFonts w:hint="eastAsia" w:ascii="华文细黑" w:hAnsi="华文细黑"/>
          <w:lang w:val="zh-CN"/>
        </w:rPr>
        <w:t>；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系统具有自动显示称重检测结果（总重、超重等信息）的功能；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系统具有超限提示功能。在显示屏上方安装声光报警器，对超限的车辆进行声光报警，提示司乘人员及执法人员注意；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称重设备外表面均进行防锈和防腐处理，能适应全天候运行；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系统具有管理、存储、查询、统计功能。能按时间段、车牌信息、超限值、序号等查询检测结果的功能。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称重设备具有保护动态链接库的数据完整的功能；</w:t>
      </w:r>
      <w:r>
        <w:rPr>
          <w:rFonts w:ascii="华文细黑" w:hAnsi="华文细黑"/>
          <w:lang w:val="zh-CN"/>
        </w:rPr>
        <w:t xml:space="preserve"> </w:t>
      </w:r>
    </w:p>
    <w:p>
      <w:pPr>
        <w:pStyle w:val="17"/>
        <w:numPr>
          <w:ilvl w:val="0"/>
          <w:numId w:val="1"/>
        </w:numPr>
        <w:ind w:firstLineChars="0"/>
        <w:rPr>
          <w:rFonts w:ascii="华文细黑" w:hAnsi="华文细黑"/>
          <w:lang w:val="zh-CN"/>
        </w:rPr>
      </w:pPr>
      <w:r>
        <w:rPr>
          <w:rFonts w:hint="eastAsia" w:ascii="华文细黑" w:hAnsi="华文细黑"/>
          <w:lang w:val="zh-CN"/>
        </w:rPr>
        <w:t>系统可按照超重车辆识别要求，设置超限阀值，超限阀值能方便地进行修改；</w:t>
      </w:r>
    </w:p>
    <w:p>
      <w:pPr>
        <w:pStyle w:val="2"/>
        <w:ind w:firstLine="198" w:firstLineChars="66"/>
        <w:rPr>
          <w:sz w:val="30"/>
          <w:szCs w:val="30"/>
        </w:rPr>
      </w:pPr>
      <w:r>
        <w:rPr>
          <w:sz w:val="30"/>
          <w:szCs w:val="30"/>
        </w:rPr>
        <w:t>系统</w:t>
      </w:r>
      <w:r>
        <w:rPr>
          <w:rFonts w:hint="eastAsia"/>
          <w:sz w:val="30"/>
          <w:szCs w:val="30"/>
        </w:rPr>
        <w:t>主要设备技术参数</w:t>
      </w:r>
    </w:p>
    <w:p>
      <w:pPr>
        <w:pStyle w:val="3"/>
        <w:numPr>
          <w:ilvl w:val="0"/>
          <w:numId w:val="0"/>
        </w:numPr>
        <w:ind w:left="200" w:leftChars="0"/>
        <w:rPr>
          <w:rFonts w:ascii="华文细黑" w:cs="华文细黑"/>
          <w:lang w:val="zh-CN"/>
        </w:rPr>
      </w:pPr>
      <w:r>
        <w:rPr>
          <w:rFonts w:hint="eastAsia"/>
          <w:sz w:val="24"/>
          <w:szCs w:val="24"/>
        </w:rPr>
        <w:t>数据采集处理器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新型智能仪表具有使用稳定性高，软件兼容性好，接口扩展性强，维护成本低等特点，具体表现在以下方面：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采用双核双系统架构模式使仪表具有极好的稳定性；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7.0寸电阻式触摸屏+按键双输入提供了良好的交互使用体验，操作灵活简单；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自动故障检测和报警机制，有效降低产品维护成本；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 xml:space="preserve">多种可扩展性接口为新技术使用提供强有力保证； 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强大的软件兼容性使智能仪表可直接与秤台、联体秤、整车、轴组秤组合使用；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 xml:space="preserve">新颖的外观设计配合强大的性能，具有绝佳的用户体验感； 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丰富的接口资源可很好的适应各类外设的接入需求；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设计了二级防雷结构，具备较好的抗雷击、浪涌性能；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内置加密模块，使仪表具有很强的安全性能；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具备应用程序远程在线更新的扩展功能；</w:t>
      </w:r>
    </w:p>
    <w:p>
      <w:pPr>
        <w:numPr>
          <w:ilvl w:val="0"/>
          <w:numId w:val="2"/>
        </w:numPr>
        <w:tabs>
          <w:tab w:val="clear" w:pos="525"/>
        </w:tabs>
        <w:ind w:left="360" w:hanging="360" w:hangingChars="150"/>
        <w:rPr>
          <w:rFonts w:ascii="华文细黑" w:hAnsi="华文细黑"/>
        </w:rPr>
      </w:pPr>
      <w:r>
        <w:rPr>
          <w:rFonts w:hint="eastAsia" w:ascii="华文细黑" w:hAnsi="华文细黑"/>
        </w:rPr>
        <w:t>符合</w:t>
      </w:r>
      <w:r>
        <w:rPr>
          <w:rFonts w:ascii="华文细黑" w:hAnsi="华文细黑"/>
        </w:rPr>
        <w:t>GB/T 7724-2008</w:t>
      </w:r>
      <w:r>
        <w:rPr>
          <w:rFonts w:hint="eastAsia" w:ascii="华文细黑" w:hAnsi="华文细黑"/>
        </w:rPr>
        <w:t>版《电子称重仪表》和</w:t>
      </w:r>
      <w:r>
        <w:rPr>
          <w:rFonts w:ascii="华文细黑" w:hAnsi="华文细黑"/>
        </w:rPr>
        <w:t>JJG539-97</w:t>
      </w:r>
      <w:r>
        <w:rPr>
          <w:rFonts w:hint="eastAsia" w:ascii="华文细黑" w:hAnsi="华文细黑"/>
        </w:rPr>
        <w:t>版《数字指示秤检定规程》；</w:t>
      </w:r>
    </w:p>
    <w:p>
      <w:pPr>
        <w:pStyle w:val="3"/>
        <w:numPr>
          <w:ilvl w:val="0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窄条传感器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材料：合金钢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电阻应变式称重传感器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输入电阻：3.0K</w:t>
      </w:r>
      <w:r>
        <w:rPr>
          <w:rFonts w:ascii="Cambria" w:hAnsi="Cambria" w:cs="Cambria"/>
        </w:rPr>
        <w:t>Ώ</w:t>
      </w:r>
      <w:r>
        <w:rPr>
          <w:rFonts w:hint="eastAsia" w:ascii="宋体" w:hAnsi="宋体"/>
        </w:rPr>
        <w:t xml:space="preserve">   输出电阻：2.8K</w:t>
      </w:r>
      <w:r>
        <w:rPr>
          <w:rFonts w:ascii="Cambria" w:hAnsi="Cambria" w:cs="Cambria"/>
        </w:rPr>
        <w:t>Ώ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灵敏度：0.415mV/V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非线性：0.2%LD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重复性：0.1%FS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绝缘阻抗：5X109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额定载荷（轮载）：15t；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过载能力：150%；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防护等级：IP68，可在水浸状态中使用；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温度范围：-40℃~ +80℃。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传感器使用寿命：≥2000万轴次；</w:t>
      </w:r>
    </w:p>
    <w:p>
      <w:pPr>
        <w:numPr>
          <w:ilvl w:val="0"/>
          <w:numId w:val="3"/>
        </w:numPr>
        <w:ind w:left="480" w:hanging="480" w:hangingChars="200"/>
        <w:jc w:val="left"/>
        <w:rPr>
          <w:rFonts w:ascii="宋体" w:hAnsi="宋体"/>
        </w:rPr>
      </w:pPr>
      <w:r>
        <w:rPr>
          <w:rFonts w:hint="eastAsia" w:ascii="宋体" w:hAnsi="宋体"/>
        </w:rPr>
        <w:t>安装方式：在路面浅表层镶嵌。</w:t>
      </w:r>
    </w:p>
    <w:p>
      <w:pPr>
        <w:widowControl w:val="0"/>
        <w:numPr>
          <w:numId w:val="0"/>
        </w:numPr>
        <w:tabs>
          <w:tab w:val="left" w:pos="420"/>
        </w:tabs>
        <w:spacing w:line="500" w:lineRule="exact"/>
        <w:jc w:val="left"/>
        <w:rPr>
          <w:rFonts w:hint="eastAsia" w:ascii="宋体" w:hAnsi="宋体"/>
        </w:rPr>
      </w:pPr>
    </w:p>
    <w:p>
      <w:pPr>
        <w:widowControl w:val="0"/>
        <w:numPr>
          <w:numId w:val="0"/>
        </w:numPr>
        <w:tabs>
          <w:tab w:val="left" w:pos="420"/>
        </w:tabs>
        <w:spacing w:line="500" w:lineRule="exact"/>
        <w:jc w:val="left"/>
        <w:rPr>
          <w:rFonts w:hint="eastAsia" w:ascii="宋体" w:hAnsi="宋体"/>
        </w:rPr>
      </w:pPr>
    </w:p>
    <w:p>
      <w:pPr>
        <w:widowControl w:val="0"/>
        <w:numPr>
          <w:numId w:val="0"/>
        </w:numPr>
        <w:tabs>
          <w:tab w:val="left" w:pos="420"/>
        </w:tabs>
        <w:spacing w:line="500" w:lineRule="exact"/>
        <w:jc w:val="left"/>
        <w:rPr>
          <w:rFonts w:hint="default" w:ascii="宋体" w:hAnsi="宋体" w:eastAsia="华文细黑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车道宽度4.5米，设备含所有安装辅材  不含土建施</w:t>
      </w:r>
      <w:bookmarkStart w:id="0" w:name="_GoBack"/>
      <w:bookmarkEnd w:id="0"/>
      <w:r>
        <w:rPr>
          <w:rFonts w:hint="eastAsia" w:ascii="宋体" w:hAnsi="宋体"/>
          <w:b/>
          <w:bCs/>
          <w:lang w:val="en-US" w:eastAsia="zh-CN"/>
        </w:rPr>
        <w:t>工，含首次检定费，质保五年。</w:t>
      </w:r>
    </w:p>
    <w:p>
      <w:pPr>
        <w:ind w:firstLine="48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"/>
      <w:lvlJc w:val="left"/>
      <w:pPr>
        <w:tabs>
          <w:tab w:val="left" w:pos="525"/>
        </w:tabs>
        <w:ind w:left="525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068F42C9"/>
    <w:multiLevelType w:val="multilevel"/>
    <w:tmpl w:val="068F42C9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10303D67"/>
    <w:multiLevelType w:val="multilevel"/>
    <w:tmpl w:val="10303D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DQ4NTExNGEyODcwYjVmZGI1MWJlNjEyZWYyNWUifQ=="/>
  </w:docVars>
  <w:rsids>
    <w:rsidRoot w:val="0060602B"/>
    <w:rsid w:val="00054AB7"/>
    <w:rsid w:val="001444C1"/>
    <w:rsid w:val="00215674"/>
    <w:rsid w:val="00304E71"/>
    <w:rsid w:val="00317E15"/>
    <w:rsid w:val="0037118C"/>
    <w:rsid w:val="003A7C8A"/>
    <w:rsid w:val="003E16CE"/>
    <w:rsid w:val="00480AE8"/>
    <w:rsid w:val="005267EF"/>
    <w:rsid w:val="005A6910"/>
    <w:rsid w:val="0060602B"/>
    <w:rsid w:val="0063662F"/>
    <w:rsid w:val="006D1696"/>
    <w:rsid w:val="00787B61"/>
    <w:rsid w:val="007E14E9"/>
    <w:rsid w:val="007E72D7"/>
    <w:rsid w:val="00812C24"/>
    <w:rsid w:val="009304D9"/>
    <w:rsid w:val="00B629FB"/>
    <w:rsid w:val="00BC2E09"/>
    <w:rsid w:val="00C14719"/>
    <w:rsid w:val="00C978C8"/>
    <w:rsid w:val="00D60311"/>
    <w:rsid w:val="00DA0D70"/>
    <w:rsid w:val="00EA0171"/>
    <w:rsid w:val="00EB39C3"/>
    <w:rsid w:val="00F32A98"/>
    <w:rsid w:val="00F53753"/>
    <w:rsid w:val="00FA4BCE"/>
    <w:rsid w:val="14A5328B"/>
    <w:rsid w:val="6D88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华文细黑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标题 1 Char"/>
    <w:basedOn w:val="13"/>
    <w:link w:val="2"/>
    <w:qFormat/>
    <w:uiPriority w:val="9"/>
    <w:rPr>
      <w:rFonts w:ascii="Times New Roman" w:hAnsi="Times New Roman" w:eastAsia="华文细黑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/>
    </w:pPr>
    <w:rPr>
      <w:rFonts w:ascii="Calibri" w:hAnsi="Calibri"/>
      <w:szCs w:val="22"/>
    </w:rPr>
  </w:style>
  <w:style w:type="character" w:customStyle="1" w:styleId="21">
    <w:name w:val="标题 3 Char"/>
    <w:basedOn w:val="13"/>
    <w:link w:val="4"/>
    <w:qFormat/>
    <w:uiPriority w:val="9"/>
    <w:rPr>
      <w:rFonts w:ascii="Times New Roman" w:hAnsi="Times New Roman" w:eastAsia="华文细黑" w:cs="Times New Roman"/>
      <w:b/>
      <w:bCs/>
      <w:sz w:val="32"/>
      <w:szCs w:val="32"/>
    </w:rPr>
  </w:style>
  <w:style w:type="character" w:customStyle="1" w:styleId="22">
    <w:name w:val="批注框文本 Char"/>
    <w:basedOn w:val="13"/>
    <w:link w:val="7"/>
    <w:semiHidden/>
    <w:qFormat/>
    <w:uiPriority w:val="99"/>
    <w:rPr>
      <w:rFonts w:ascii="Times New Roman" w:hAnsi="Times New Roman" w:eastAsia="华文细黑" w:cs="Times New Roman"/>
      <w:sz w:val="18"/>
      <w:szCs w:val="18"/>
    </w:rPr>
  </w:style>
  <w:style w:type="character" w:customStyle="1" w:styleId="23">
    <w:name w:val="标题 5 Char"/>
    <w:basedOn w:val="13"/>
    <w:link w:val="6"/>
    <w:semiHidden/>
    <w:qFormat/>
    <w:uiPriority w:val="9"/>
    <w:rPr>
      <w:rFonts w:ascii="Times New Roman" w:hAnsi="Times New Roman" w:eastAsia="华文细黑" w:cs="Times New Roman"/>
      <w:b/>
      <w:bCs/>
      <w:sz w:val="28"/>
      <w:szCs w:val="28"/>
    </w:rPr>
  </w:style>
  <w:style w:type="character" w:customStyle="1" w:styleId="24">
    <w:name w:val="标题 4 Char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F673-31B5-4CBD-8695-8EFF3FF25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972</Characters>
  <Lines>23</Lines>
  <Paragraphs>6</Paragraphs>
  <TotalTime>256</TotalTime>
  <ScaleCrop>false</ScaleCrop>
  <LinksUpToDate>false</LinksUpToDate>
  <CharactersWithSpaces>982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2020-03-24T05:33:00Z</dcterms:created>
  <dc:creator>wjianjie</dc:creator>
  <cp:lastModifiedBy>lenovo</cp:lastModifiedBy>
  <dcterms:modified xsi:type="dcterms:W3CDTF">2024-08-23T07:20:17Z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04E5741ACCFF4262B481C3E001386AB0</vt:lpwstr>
  </property>
</Properties>
</file>